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550" w:line="259" w:lineRule="auto"/>
        <w:ind w:right="478" w:firstLine="0"/>
        <w:jc w:val="center"/>
        <w:rPr>
          <w:rFonts w:hint="eastAsia" w:ascii="方正小标宋_GBK" w:hAnsi="方正小标宋_GBK" w:eastAsia="方正小标宋_GBK" w:cs="方正小标宋_GBK"/>
        </w:rPr>
      </w:pPr>
      <w:r>
        <w:rPr>
          <w:rFonts w:hint="eastAsia" w:ascii="方正小标宋_GBK" w:hAnsi="方正小标宋_GBK" w:eastAsia="方正小标宋_GBK" w:cs="方正小标宋_GBK"/>
          <w:sz w:val="42"/>
        </w:rPr>
        <w:t>贵州省品牌建设促进会简介</w:t>
      </w:r>
    </w:p>
    <w:p>
      <w:pPr>
        <w:pStyle w:val="2"/>
        <w:ind w:left="557"/>
      </w:pPr>
      <w:r>
        <w:t>一、成立背景</w:t>
      </w:r>
    </w:p>
    <w:p>
      <w:pPr>
        <w:ind w:left="-15"/>
      </w:pPr>
      <w:r>
        <w:t>贵州省品牌建设促进会于2018年10月18日成立。</w:t>
      </w:r>
      <w:bookmarkStart w:id="1" w:name="_GoBack"/>
      <w:bookmarkEnd w:id="1"/>
      <w:r>
        <w:t>是经中共贵州省委、贵州省人民政府(黔党发〔2018〕15号)批准，民政厅注册，接受业务主管单位贵州省市场监督管理局（省知识产权局），以及省发展改革委、省工业与信息化厅、省农业农村厅、省商务厅和省国资委的业务指导，由中国贵州茅台酒厂(集团)有限责任公司、多彩贵州文化产业</w:t>
      </w:r>
      <w:r>
        <w:rPr>
          <w:rFonts w:hint="eastAsia"/>
          <w:lang w:eastAsia="zh-CN"/>
        </w:rPr>
        <w:t>投资</w:t>
      </w:r>
      <w:r>
        <w:t>集团有限责任公司、瓮福(集团)有限责任公司、贵州产业技术发展研究院、贵州日报报业集团传媒有限责任公司等单位共同发起成立，在全省范围内从事品牌工作的专业性社会团体。</w:t>
      </w:r>
    </w:p>
    <w:p>
      <w:pPr>
        <w:spacing w:line="320" w:lineRule="auto"/>
        <w:ind w:left="-15" w:right="136"/>
        <w:jc w:val="both"/>
      </w:pPr>
      <w:r>
        <w:t>贵州省品牌建设促进会是中国品牌建设促进会在贵州唯一指定的省级品牌价值评价执行单位，是贵州省内品牌建设服务体系最为健全的专业机构，是贵州省民政厅、财政厅批准具备承接政府购买服务资格的全省性社会组织。</w:t>
      </w:r>
    </w:p>
    <w:p>
      <w:pPr>
        <w:pStyle w:val="2"/>
        <w:ind w:left="557"/>
      </w:pPr>
      <w:r>
        <w:t>二、组织结构</w:t>
      </w:r>
    </w:p>
    <w:p>
      <w:pPr>
        <w:ind w:left="-15"/>
      </w:pPr>
      <w:r>
        <w:t>理事长单位为中国贵州茅台酒厂(集团)有限责任公司，常务副理事长单位为多彩贵州文化</w:t>
      </w:r>
      <w:r>
        <w:rPr>
          <w:rFonts w:hint="eastAsia"/>
          <w:lang w:eastAsia="zh-CN"/>
        </w:rPr>
        <w:t>产业</w:t>
      </w:r>
      <w:r>
        <w:t>投资集团有限责任公司，副理事长单位分别为瓮福(集团)有限责任公司、贵州产业技术发展研究院、贵州日报报业集团传媒有限责任公司、多彩贵州网有限责任公司、贵州航天工业有限责任公司。现有会员单位485家，主要由全省各个领域的大型品牌企业、成长型中小企业、品牌中介机构、相关行业协会、高校、研究院所等单位及个人组成，已初步形成集“政产学研金服用”为一体的品牌建设创新格局。</w:t>
      </w:r>
    </w:p>
    <w:p>
      <w:pPr>
        <w:pStyle w:val="2"/>
        <w:ind w:left="557"/>
      </w:pPr>
      <w:r>
        <w:t>三、工作职能</w:t>
      </w:r>
    </w:p>
    <w:p>
      <w:pPr>
        <w:ind w:left="-15"/>
      </w:pPr>
      <w:r>
        <w:t>根据《中共贵州省委 贵州省人民政府关于开展质量提升行动的实施意见》(黔党发〔2018〕15号)文件要求，主要工作职能有：</w:t>
      </w:r>
    </w:p>
    <w:p>
      <w:pPr>
        <w:numPr>
          <w:ilvl w:val="0"/>
          <w:numId w:val="1"/>
        </w:numPr>
      </w:pPr>
      <w:r>
        <w:t>贯彻落实国家品牌建设的方针、政策和法规，组织开展贵州品牌建设规律和理论的研究，吸收、引进国际先进的品牌理念和管理经验，推动相关品牌建设标准的制定；</w:t>
      </w:r>
    </w:p>
    <w:p>
      <w:pPr>
        <w:numPr>
          <w:ilvl w:val="0"/>
          <w:numId w:val="1"/>
        </w:numPr>
      </w:pPr>
      <w:r>
        <w:t>打造贵州品牌智慧集成与资源平台，建立我省品牌评价与发布机制，提升贵州品牌话语权；</w:t>
      </w:r>
    </w:p>
    <w:p>
      <w:pPr>
        <w:numPr>
          <w:ilvl w:val="0"/>
          <w:numId w:val="1"/>
        </w:numPr>
        <w:spacing w:after="74" w:line="259" w:lineRule="auto"/>
      </w:pPr>
      <w:r>
        <w:t>设立品牌发展基金，助力企业品牌建设发展，搭建品牌推介平台，提高贵州品牌的知名度和影响力；</w:t>
      </w:r>
    </w:p>
    <w:p>
      <w:pPr>
        <w:numPr>
          <w:ilvl w:val="0"/>
          <w:numId w:val="1"/>
        </w:numPr>
        <w:spacing w:after="74" w:line="259" w:lineRule="auto"/>
      </w:pPr>
      <w:r>
        <w:t>建立品牌人才智库，为我省品牌建设提供智力支撑；</w:t>
      </w:r>
    </w:p>
    <w:p>
      <w:pPr>
        <w:numPr>
          <w:ilvl w:val="0"/>
          <w:numId w:val="1"/>
        </w:numPr>
      </w:pPr>
      <w:r>
        <w:t>组织品牌管理及从业人员的教育和职业能力培训工作，提升企业及从业人员品牌建设素质和能力；</w:t>
      </w:r>
    </w:p>
    <w:p>
      <w:pPr>
        <w:numPr>
          <w:ilvl w:val="0"/>
          <w:numId w:val="1"/>
        </w:numPr>
        <w:spacing w:after="74" w:line="259" w:lineRule="auto"/>
      </w:pPr>
      <w:r>
        <w:t>积极开展“品牌日”活动，组织品牌展示、品牌论坛等活动；</w:t>
      </w:r>
    </w:p>
    <w:p>
      <w:pPr>
        <w:numPr>
          <w:ilvl w:val="0"/>
          <w:numId w:val="1"/>
        </w:numPr>
        <w:spacing w:after="74" w:line="259" w:lineRule="auto"/>
      </w:pPr>
      <w:r>
        <w:t>开展品牌自律管理，推动品牌维权工作；</w:t>
      </w:r>
    </w:p>
    <w:p>
      <w:pPr>
        <w:numPr>
          <w:ilvl w:val="0"/>
          <w:numId w:val="1"/>
        </w:numPr>
      </w:pPr>
      <w:r>
        <w:t>会同政府部门，以及报社、电台、电视台、网站宣传实施品牌战略，提升社会的品牌意识；</w:t>
      </w:r>
    </w:p>
    <w:p>
      <w:pPr>
        <w:numPr>
          <w:ilvl w:val="0"/>
          <w:numId w:val="1"/>
        </w:numPr>
      </w:pPr>
      <w:r>
        <w:t>对有关品牌问题损害消费者合法权益的行为，将通过大众传播媒介予以揭露、批评；</w:t>
      </w:r>
    </w:p>
    <w:p>
      <w:pPr>
        <w:numPr>
          <w:ilvl w:val="0"/>
          <w:numId w:val="1"/>
        </w:numPr>
      </w:pPr>
      <w:r>
        <w:t>开展国内外交流与合作，拓展国际视野，提高我省品牌的国际影响力；</w:t>
      </w:r>
    </w:p>
    <w:p>
      <w:pPr>
        <w:numPr>
          <w:ilvl w:val="0"/>
          <w:numId w:val="1"/>
        </w:numPr>
      </w:pPr>
      <w:r>
        <w:t>构建我省品牌工作的综合推进机制，助力我省品牌名片的打造；</w:t>
      </w:r>
    </w:p>
    <w:p>
      <w:pPr>
        <w:numPr>
          <w:ilvl w:val="0"/>
          <w:numId w:val="1"/>
        </w:numPr>
      </w:pPr>
      <w:r>
        <w:t>接受政府部门和会员委托，承担品牌建设有关技术性、事务性工作，开展相关服务工作等。</w:t>
      </w:r>
    </w:p>
    <w:p>
      <w:pPr>
        <w:pStyle w:val="2"/>
        <w:ind w:left="557"/>
      </w:pPr>
      <w:r>
        <w:t>四、主要工作开展情况</w:t>
      </w:r>
    </w:p>
    <w:p>
      <w:pPr>
        <w:ind w:left="-15"/>
      </w:pPr>
      <w:r>
        <w:t>近年来，在省市场监管局、省发展改革委等部门的指导和关怀下，在各会员单位积极参与下，我们以建立消费者认可和市场竞争力为基础的品牌形成机制为目标,按照品牌建设的理念和规律，制定品牌评价标准,开展品牌价值测算,权威发布品牌价值排行榜。围绕计量、标准、检验检测、认证认可、质量管理、信用建设、知识产权服务等内容，深入开展品牌培训、咨询、策划、创建，以及“中国品牌日”等展示及宣传推介活动。</w:t>
      </w:r>
    </w:p>
    <w:p>
      <w:pPr>
        <w:numPr>
          <w:ilvl w:val="0"/>
          <w:numId w:val="2"/>
        </w:numPr>
        <w:spacing w:line="320" w:lineRule="auto"/>
      </w:pPr>
      <w:r>
        <w:t>成功举办2021贵州“100 强品牌”发布盛典暨贵州品牌高质量发展论坛、2021品牌引领贵州高质量发展论坛暨贵州省农业品牌价值评价信息发布会。</w:t>
      </w:r>
    </w:p>
    <w:p>
      <w:pPr>
        <w:numPr>
          <w:ilvl w:val="0"/>
          <w:numId w:val="2"/>
        </w:numPr>
      </w:pPr>
      <w:r>
        <w:t>受省发展改革委委托，策划贵州省“中国品牌日”活动方案，开展系列活动；完成《贵州省品牌名录 (2020年)》的编撰和出版工作，建设管理《品牌黔记录》线上平台。</w:t>
      </w:r>
    </w:p>
    <w:p>
      <w:pPr>
        <w:numPr>
          <w:ilvl w:val="0"/>
          <w:numId w:val="2"/>
        </w:numPr>
      </w:pPr>
      <w:r>
        <w:t>受省市场监督管理局委托，制定贵州省地方标准《品牌评价工作指南》(DB52/T 1554-2021 ) ，</w:t>
      </w:r>
      <w:r>
        <w:rPr>
          <w:rFonts w:hint="eastAsia"/>
          <w:lang w:eastAsia="zh-CN"/>
        </w:rPr>
        <w:t>连续四年</w:t>
      </w:r>
      <w:r>
        <w:t>开展贵州省品牌价值评价工作，开展贵州省第四届省长质量奖评审前期调研工作。</w:t>
      </w:r>
    </w:p>
    <w:p>
      <w:pPr>
        <w:numPr>
          <w:ilvl w:val="0"/>
          <w:numId w:val="2"/>
        </w:numPr>
      </w:pPr>
      <w:r>
        <w:t>受省商务厅委托，制定《“贵字号”认定标准和管理机制》，编制《贵州“老字号”发展白皮书》，修订《“贵州老字号”认定和管理办法》及“贵州老字号”认定评分体系，开展第三批、第四批、第五批“贵州老字号”评审认定。</w:t>
      </w:r>
    </w:p>
    <w:p>
      <w:pPr>
        <w:numPr>
          <w:ilvl w:val="0"/>
          <w:numId w:val="2"/>
        </w:numPr>
      </w:pPr>
      <w:r>
        <w:t>受省农业农村厅委托，起草《贵州省区域公用品牌管理办法》；开展2021年贵州省农业品牌价值评价及发布工作，发布贵州省农业品牌50 强和农产品品牌50强；开展2021年度优强农产品区域公用品牌价值评价工作,权威发布2021年度贵州省十强农产品区域公用品牌，承办2021年度农产品区域公用品牌视频大赛等系列活动。</w:t>
      </w:r>
    </w:p>
    <w:p>
      <w:pPr>
        <w:numPr>
          <w:ilvl w:val="0"/>
          <w:numId w:val="2"/>
        </w:numPr>
      </w:pPr>
      <w:r>
        <w:t>受省文化和旅游厅委托，完成旅游行业“酒店、景区、康养” 三项品牌价值评价标准研究课题。</w:t>
      </w:r>
    </w:p>
    <w:p>
      <w:pPr>
        <w:numPr>
          <w:ilvl w:val="0"/>
          <w:numId w:val="2"/>
        </w:numPr>
      </w:pPr>
      <w:r>
        <w:t>受省生态环境厅委托，完成2020</w:t>
      </w:r>
      <w:r>
        <w:rPr>
          <w:rFonts w:hint="eastAsia"/>
          <w:lang w:eastAsia="zh-CN"/>
        </w:rPr>
        <w:t>、</w:t>
      </w:r>
      <w:r>
        <w:rPr>
          <w:rFonts w:hint="eastAsia"/>
          <w:lang w:val="en-US" w:eastAsia="zh-CN"/>
        </w:rPr>
        <w:t>2021</w:t>
      </w:r>
      <w:r>
        <w:t>年度重点排放单位碳排放核查工作(非发电行业) 。</w:t>
      </w:r>
    </w:p>
    <w:p>
      <w:pPr>
        <w:numPr>
          <w:ilvl w:val="0"/>
          <w:numId w:val="2"/>
        </w:numPr>
        <w:spacing w:line="259" w:lineRule="auto"/>
      </w:pPr>
      <w:r>
        <w:rPr>
          <w:rFonts w:hint="eastAsia"/>
        </w:rPr>
        <w:t>在省市场监督管理局</w:t>
      </w:r>
      <w:r>
        <w:rPr>
          <w:rFonts w:hint="eastAsia"/>
          <w:lang w:eastAsia="zh-CN"/>
        </w:rPr>
        <w:t>支持</w:t>
      </w:r>
      <w:r>
        <w:rPr>
          <w:rFonts w:hint="eastAsia"/>
        </w:rPr>
        <w:t>下，</w:t>
      </w:r>
      <w:r>
        <w:rPr>
          <w:rFonts w:hint="eastAsia"/>
          <w:lang w:eastAsia="zh-CN"/>
        </w:rPr>
        <w:t>指导</w:t>
      </w:r>
      <w:r>
        <w:t>成立贵州省品牌创建培育服务中心，</w:t>
      </w:r>
      <w:r>
        <w:rPr>
          <w:rFonts w:hint="eastAsia"/>
        </w:rPr>
        <w:t>建设品牌“一站式”专业化服务平台，为政府、企业、品牌主体提供品牌相关的“一站式”综合服务。</w:t>
      </w:r>
    </w:p>
    <w:p>
      <w:pPr>
        <w:numPr>
          <w:ilvl w:val="0"/>
          <w:numId w:val="2"/>
        </w:numPr>
        <w:spacing w:after="74" w:line="259" w:lineRule="auto"/>
      </w:pPr>
      <w:r>
        <w:t>编制《“绿博黔南”区域公用品牌建设方案》。</w:t>
      </w:r>
    </w:p>
    <w:p>
      <w:pPr>
        <w:numPr>
          <w:ilvl w:val="0"/>
          <w:numId w:val="2"/>
        </w:numPr>
        <w:spacing w:line="259" w:lineRule="auto"/>
      </w:pPr>
      <w:r>
        <w:t>认定发布“黔菌”“安龙香菇”“花小莓”区域公用品牌。</w:t>
      </w:r>
    </w:p>
    <w:p>
      <w:pPr>
        <w:numPr>
          <w:ilvl w:val="0"/>
          <w:numId w:val="2"/>
        </w:numPr>
        <w:spacing w:line="259" w:lineRule="auto"/>
        <w:rPr>
          <w:rFonts w:hint="eastAsia"/>
        </w:rPr>
      </w:pPr>
      <w:r>
        <w:rPr>
          <w:rFonts w:hint="eastAsia"/>
        </w:rPr>
        <w:t>受省民宗委和“黔系列” 民族文化产业品牌联席会议办公室委托，</w:t>
      </w:r>
      <w:r>
        <w:rPr>
          <w:rFonts w:hint="eastAsia"/>
          <w:lang w:eastAsia="zh-CN"/>
        </w:rPr>
        <w:t>开展“黔系列”品牌价值评价工作</w:t>
      </w:r>
      <w:r>
        <w:rPr>
          <w:rFonts w:hint="eastAsia"/>
        </w:rPr>
        <w:t>。</w:t>
      </w:r>
    </w:p>
    <w:p>
      <w:pPr>
        <w:numPr>
          <w:ilvl w:val="0"/>
          <w:numId w:val="2"/>
        </w:numPr>
        <w:spacing w:line="259" w:lineRule="auto"/>
        <w:rPr>
          <w:rFonts w:hint="eastAsia"/>
        </w:rPr>
      </w:pPr>
      <w:r>
        <w:rPr>
          <w:rFonts w:hint="eastAsia"/>
        </w:rPr>
        <w:t>为镇宁蜂糖李、兴仁薏仁米等区域公用品牌提供品牌战略、品牌营销、品牌定位、品牌设计、品牌运营、品牌保护、品牌传播等系统化品牌服务；为赖茅、黔北壹号、阿穴酒等企业品牌提供品牌价值评价、品牌诊断分析、品牌未来发展等专业化指导帮助。</w:t>
      </w:r>
    </w:p>
    <w:p>
      <w:pPr>
        <w:numPr>
          <w:ilvl w:val="0"/>
          <w:numId w:val="2"/>
        </w:numPr>
        <w:spacing w:line="259" w:lineRule="auto"/>
        <w:rPr>
          <w:rFonts w:hint="eastAsia"/>
        </w:rPr>
      </w:pPr>
      <w:r>
        <w:rPr>
          <w:rFonts w:hint="eastAsia"/>
        </w:rPr>
        <w:t>贵阳市周边区域公用品牌打造：为乌当区“五零”示范区、修文县“修文猕猴桃”、花溪区“花小莓”、观山湖区“观桃”、开阳县“印象硒州”、白云区“云尚菇”“云尚菇集”等区域公用品牌提供品牌战略规划、品牌文化梳理、IP形象设计、品牌故事传播、VIS系统建立、品质控制、认证认可、知识产权、品牌营销、品牌价值评价、品牌影响力提升的全案服务。</w:t>
      </w:r>
    </w:p>
    <w:p>
      <w:pPr>
        <w:numPr>
          <w:ilvl w:val="0"/>
          <w:numId w:val="2"/>
        </w:numPr>
        <w:spacing w:line="259" w:lineRule="auto"/>
      </w:pPr>
      <w:r>
        <w:rPr>
          <w:rFonts w:hint="eastAsia"/>
        </w:rPr>
        <w:t>接受茅台集团委托，开展《茅台集团“365”质量管理体系建设路径研究》，构建实施茅台“365”质量管理体系，持续推进茅台质量管理现代化，巩固提升茅台品质的最强核心竞争力。</w:t>
      </w:r>
    </w:p>
    <w:p>
      <w:pPr>
        <w:numPr>
          <w:ilvl w:val="0"/>
          <w:numId w:val="2"/>
        </w:numPr>
        <w:spacing w:line="259" w:lineRule="auto"/>
        <w:rPr>
          <w:rFonts w:hint="eastAsia"/>
          <w:szCs w:val="28"/>
        </w:rPr>
      </w:pPr>
      <w:bookmarkStart w:id="0" w:name="_Hlk131681362"/>
      <w:r>
        <w:rPr>
          <w:rFonts w:hint="eastAsia"/>
        </w:rPr>
        <w:t>为</w:t>
      </w:r>
      <w:r>
        <w:rPr>
          <w:rFonts w:hint="eastAsia"/>
          <w:szCs w:val="28"/>
        </w:rPr>
        <w:t>“修文猕猴桃”农产品区域公用品牌规划了三年品牌价值提升工作，</w:t>
      </w:r>
      <w:r>
        <w:rPr>
          <w:rFonts w:hint="eastAsia" w:hAnsi="宋体"/>
          <w:szCs w:val="28"/>
          <w:lang w:eastAsia="zh-Hans"/>
        </w:rPr>
        <w:t>设计全新的“修文猕猴桃”IP形象、更新了相关包装、向全国征集了修文猕猴桃广告宣传标语。</w:t>
      </w:r>
      <w:r>
        <w:rPr>
          <w:rFonts w:hint="eastAsia"/>
          <w:szCs w:val="28"/>
        </w:rPr>
        <w:t>并在2023年4月3日为修文县、伊利集团、京东集团策划并成功举办了</w:t>
      </w:r>
      <w:r>
        <w:rPr>
          <w:rFonts w:hint="eastAsia" w:hAnsi="Segoe UI" w:cs="Segoe UI"/>
          <w:b/>
          <w:bCs/>
          <w:color w:val="505050"/>
          <w:szCs w:val="28"/>
          <w:shd w:val="clear" w:color="auto" w:fill="FFFFFF"/>
        </w:rPr>
        <w:t>“</w:t>
      </w:r>
      <w:r>
        <w:rPr>
          <w:rFonts w:hint="eastAsia" w:hAnsi="Segoe UI" w:cs="Segoe UI"/>
          <w:b w:val="0"/>
          <w:bCs w:val="0"/>
          <w:color w:val="505050"/>
          <w:szCs w:val="28"/>
          <w:shd w:val="clear" w:color="auto" w:fill="FFFFFF"/>
        </w:rPr>
        <w:t>修文猕猴桃”农产品区域公用品牌暨 安慕希 修文猕猴桃 酸奶”推介活动</w:t>
      </w:r>
      <w:r>
        <w:rPr>
          <w:rFonts w:hint="eastAsia" w:hAnsi="Segoe UI" w:cs="Segoe UI"/>
          <w:color w:val="505050"/>
          <w:szCs w:val="28"/>
          <w:shd w:val="clear" w:color="auto" w:fill="FFFFFF"/>
        </w:rPr>
        <w:t>。</w:t>
      </w:r>
      <w:bookmarkEnd w:id="0"/>
    </w:p>
    <w:p>
      <w:pPr>
        <w:numPr>
          <w:numId w:val="0"/>
        </w:numPr>
        <w:spacing w:line="259" w:lineRule="auto"/>
      </w:pPr>
    </w:p>
    <w:sectPr>
      <w:footerReference r:id="rId7" w:type="first"/>
      <w:footerReference r:id="rId5" w:type="default"/>
      <w:footerReference r:id="rId6" w:type="even"/>
      <w:pgSz w:w="11906" w:h="16840"/>
      <w:pgMar w:top="1526" w:right="923" w:bottom="1322" w:left="1601" w:header="720" w:footer="97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20331570-1BC5-44B4-9368-AFF1F991499F}"/>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embedRegular r:id="rId2" w:fontKey="{4DA15767-57A3-47F0-9B71-EBB1024A9667}"/>
  </w:font>
  <w:font w:name="方正小标宋_GBK">
    <w:panose1 w:val="02000000000000000000"/>
    <w:charset w:val="86"/>
    <w:family w:val="auto"/>
    <w:pitch w:val="default"/>
    <w:sig w:usb0="A00002BF" w:usb1="38CF7CFA" w:usb2="00082016" w:usb3="00000000" w:csb0="00040001" w:csb1="00000000"/>
    <w:embedRegular r:id="rId3" w:fontKey="{D7A4F415-091F-4C24-9E78-4BCE5FE80E5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59" w:lineRule="auto"/>
      <w:ind w:right="497" w:firstLine="0"/>
      <w:jc w:val="center"/>
    </w:pPr>
    <w:r>
      <w:rPr>
        <w:rFonts w:ascii="Calibri" w:hAnsi="Calibri" w:eastAsia="Calibri" w:cs="Calibri"/>
        <w:sz w:val="16"/>
      </w:rPr>
      <w:t xml:space="preserve">- </w:t>
    </w:r>
    <w:r>
      <w:fldChar w:fldCharType="begin"/>
    </w:r>
    <w:r>
      <w:instrText xml:space="preserve"> PAGE   \* MERGEFORMAT </w:instrText>
    </w:r>
    <w:r>
      <w:fldChar w:fldCharType="separate"/>
    </w:r>
    <w:r>
      <w:rPr>
        <w:rFonts w:ascii="Calibri" w:hAnsi="Calibri" w:eastAsia="Calibri" w:cs="Calibri"/>
        <w:sz w:val="16"/>
      </w:rPr>
      <w:t>1</w:t>
    </w:r>
    <w:r>
      <w:rPr>
        <w:rFonts w:ascii="Calibri" w:hAnsi="Calibri" w:eastAsia="Calibri" w:cs="Calibri"/>
        <w:sz w:val="16"/>
      </w:rPr>
      <w:fldChar w:fldCharType="end"/>
    </w:r>
    <w:r>
      <w:rPr>
        <w:rFonts w:ascii="Calibri" w:hAnsi="Calibri" w:eastAsia="Calibri" w:cs="Calibri"/>
        <w:sz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59" w:lineRule="auto"/>
      <w:ind w:right="497" w:firstLine="0"/>
      <w:jc w:val="center"/>
    </w:pPr>
    <w:r>
      <w:rPr>
        <w:rFonts w:ascii="Calibri" w:hAnsi="Calibri" w:eastAsia="Calibri" w:cs="Calibri"/>
        <w:sz w:val="16"/>
      </w:rPr>
      <w:t xml:space="preserve">- </w:t>
    </w:r>
    <w:r>
      <w:fldChar w:fldCharType="begin"/>
    </w:r>
    <w:r>
      <w:instrText xml:space="preserve"> PAGE   \* MERGEFORMAT </w:instrText>
    </w:r>
    <w:r>
      <w:fldChar w:fldCharType="separate"/>
    </w:r>
    <w:r>
      <w:rPr>
        <w:rFonts w:ascii="Calibri" w:hAnsi="Calibri" w:eastAsia="Calibri" w:cs="Calibri"/>
        <w:sz w:val="16"/>
      </w:rPr>
      <w:t>1</w:t>
    </w:r>
    <w:r>
      <w:rPr>
        <w:rFonts w:ascii="Calibri" w:hAnsi="Calibri" w:eastAsia="Calibri" w:cs="Calibri"/>
        <w:sz w:val="16"/>
      </w:rPr>
      <w:fldChar w:fldCharType="end"/>
    </w:r>
    <w:r>
      <w:rPr>
        <w:rFonts w:ascii="Calibri" w:hAnsi="Calibri" w:eastAsia="Calibri" w:cs="Calibri"/>
        <w:sz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59" w:lineRule="auto"/>
      <w:ind w:right="497" w:firstLine="0"/>
      <w:jc w:val="center"/>
    </w:pPr>
    <w:r>
      <w:rPr>
        <w:rFonts w:ascii="Calibri" w:hAnsi="Calibri" w:eastAsia="Calibri" w:cs="Calibri"/>
        <w:sz w:val="16"/>
      </w:rPr>
      <w:t xml:space="preserve">- </w:t>
    </w:r>
    <w:r>
      <w:fldChar w:fldCharType="begin"/>
    </w:r>
    <w:r>
      <w:instrText xml:space="preserve"> PAGE   \* MERGEFORMAT </w:instrText>
    </w:r>
    <w:r>
      <w:fldChar w:fldCharType="separate"/>
    </w:r>
    <w:r>
      <w:rPr>
        <w:rFonts w:ascii="Calibri" w:hAnsi="Calibri" w:eastAsia="Calibri" w:cs="Calibri"/>
        <w:sz w:val="16"/>
      </w:rPr>
      <w:t>1</w:t>
    </w:r>
    <w:r>
      <w:rPr>
        <w:rFonts w:ascii="Calibri" w:hAnsi="Calibri" w:eastAsia="Calibri" w:cs="Calibri"/>
        <w:sz w:val="16"/>
      </w:rPr>
      <w:fldChar w:fldCharType="end"/>
    </w:r>
    <w:r>
      <w:rPr>
        <w:rFonts w:ascii="Calibri" w:hAnsi="Calibri" w:eastAsia="Calibri" w:cs="Calibri"/>
        <w:sz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5" w:lineRule="auto"/>
      </w:pPr>
      <w:r>
        <w:separator/>
      </w:r>
    </w:p>
  </w:footnote>
  <w:footnote w:type="continuationSeparator" w:id="1">
    <w:p>
      <w:pPr>
        <w:spacing w:before="0" w:after="0" w:line="325"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B43914"/>
    <w:multiLevelType w:val="multilevel"/>
    <w:tmpl w:val="12B43914"/>
    <w:lvl w:ilvl="0" w:tentative="0">
      <w:start w:val="1"/>
      <w:numFmt w:val="japaneseCounting"/>
      <w:lvlText w:val="（%1）"/>
      <w:lvlJc w:val="left"/>
      <w:pPr>
        <w:ind w:left="0"/>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64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36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08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80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52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24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96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68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abstractNum>
  <w:abstractNum w:abstractNumId="1">
    <w:nsid w:val="5DA25D30"/>
    <w:multiLevelType w:val="multilevel"/>
    <w:tmpl w:val="5DA25D30"/>
    <w:lvl w:ilvl="0" w:tentative="0">
      <w:start w:val="1"/>
      <w:numFmt w:val="japaneseCounting"/>
      <w:lvlText w:val="（%1）"/>
      <w:lvlJc w:val="left"/>
      <w:pPr>
        <w:ind w:left="0"/>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64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36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08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80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52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24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96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682"/>
      </w:pPr>
      <w:rPr>
        <w:rFonts w:ascii="仿宋_GB2312" w:hAnsi="仿宋_GB2312" w:eastAsia="仿宋_GB2312" w:cs="仿宋_GB2312"/>
        <w:b w:val="0"/>
        <w:i w:val="0"/>
        <w:strike w:val="0"/>
        <w:dstrike w:val="0"/>
        <w:color w:val="000000"/>
        <w:sz w:val="28"/>
        <w:szCs w:val="28"/>
        <w:u w:val="none" w:color="000000"/>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yMWY0MjlhNGVmYzg1ZTlkMzQ5OTlkODBmYTEwNGEifQ=="/>
  </w:docVars>
  <w:rsids>
    <w:rsidRoot w:val="00B53F37"/>
    <w:rsid w:val="002C06FE"/>
    <w:rsid w:val="00B53F37"/>
    <w:rsid w:val="00CE6786"/>
    <w:rsid w:val="05C73048"/>
    <w:rsid w:val="0C6F2567"/>
    <w:rsid w:val="0D815DD4"/>
    <w:rsid w:val="16B8213B"/>
    <w:rsid w:val="17BA164B"/>
    <w:rsid w:val="17DD4930"/>
    <w:rsid w:val="17F175CB"/>
    <w:rsid w:val="2A9A007E"/>
    <w:rsid w:val="2A9C5BA4"/>
    <w:rsid w:val="2E853BD6"/>
    <w:rsid w:val="37E34E12"/>
    <w:rsid w:val="477E6386"/>
    <w:rsid w:val="53110C8D"/>
    <w:rsid w:val="542E520F"/>
    <w:rsid w:val="5F08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3" w:line="325" w:lineRule="auto"/>
      <w:ind w:firstLine="552"/>
    </w:pPr>
    <w:rPr>
      <w:rFonts w:ascii="仿宋_GB2312" w:hAnsi="仿宋_GB2312" w:eastAsia="仿宋_GB2312" w:cs="仿宋_GB2312"/>
      <w:color w:val="000000"/>
      <w:kern w:val="2"/>
      <w:sz w:val="28"/>
      <w:szCs w:val="22"/>
      <w:lang w:val="en-US" w:eastAsia="zh-CN" w:bidi="ar-SA"/>
    </w:rPr>
  </w:style>
  <w:style w:type="paragraph" w:styleId="2">
    <w:name w:val="heading 1"/>
    <w:next w:val="1"/>
    <w:link w:val="6"/>
    <w:qFormat/>
    <w:uiPriority w:val="9"/>
    <w:pPr>
      <w:keepNext/>
      <w:keepLines/>
      <w:spacing w:after="25" w:line="259" w:lineRule="auto"/>
      <w:ind w:left="572" w:hanging="10"/>
      <w:outlineLvl w:val="0"/>
    </w:pPr>
    <w:rPr>
      <w:rFonts w:ascii="黑体" w:hAnsi="黑体" w:eastAsia="黑体" w:cs="黑体"/>
      <w:color w:val="000000"/>
      <w:kern w:val="2"/>
      <w:sz w:val="28"/>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7"/>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6">
    <w:name w:val="标题 1 字符"/>
    <w:link w:val="2"/>
    <w:qFormat/>
    <w:uiPriority w:val="0"/>
    <w:rPr>
      <w:rFonts w:ascii="黑体" w:hAnsi="黑体" w:eastAsia="黑体" w:cs="黑体"/>
      <w:color w:val="000000"/>
      <w:sz w:val="28"/>
    </w:rPr>
  </w:style>
  <w:style w:type="character" w:customStyle="1" w:styleId="7">
    <w:name w:val="页眉 字符"/>
    <w:basedOn w:val="5"/>
    <w:link w:val="3"/>
    <w:qFormat/>
    <w:uiPriority w:val="99"/>
    <w:rPr>
      <w:rFonts w:ascii="仿宋_GB2312" w:hAnsi="仿宋_GB2312" w:eastAsia="仿宋_GB2312" w:cs="仿宋_GB2312"/>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2468</Words>
  <Characters>2540</Characters>
  <Lines>14</Lines>
  <Paragraphs>4</Paragraphs>
  <TotalTime>10</TotalTime>
  <ScaleCrop>false</ScaleCrop>
  <LinksUpToDate>false</LinksUpToDate>
  <CharactersWithSpaces>2553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2023-03-23T08:47:00Z</dcterms:created>
  <dc:creator>Ydragon1427346900</dc:creator>
  <cp:lastModifiedBy>宏哥</cp:lastModifiedBy>
  <dcterms:modified xsi:type="dcterms:W3CDTF">2023-05-30T03:12:10Z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7F8EE1E3CCA245059ED3328B4ED2A7DA_13</vt:lpwstr>
  </property>
</Properties>
</file>